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4D5879" w:rsidRDefault="00213570" w:rsidP="00350F4E"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52-</w:t>
      </w:r>
      <w:r w:rsidR="004D5879">
        <w:rPr>
          <w:color w:val="000000"/>
          <w:szCs w:val="22"/>
        </w:rPr>
        <w:t>1</w:t>
      </w:r>
      <w:r w:rsidR="009652A2">
        <w:rPr>
          <w:color w:val="000000"/>
          <w:szCs w:val="22"/>
        </w:rPr>
        <w:t>4</w:t>
      </w:r>
    </w:p>
    <w:p w:rsidR="00BE45E8" w:rsidRDefault="00213570" w:rsidP="00350F4E">
      <w:r>
        <w:rPr>
          <w:lang w:val="sr-Cyrl-CS"/>
        </w:rPr>
        <w:t>ДАНА</w:t>
      </w:r>
      <w:r w:rsidR="00BE45E8">
        <w:t>:</w:t>
      </w:r>
      <w:r>
        <w:rPr>
          <w:lang w:val="sr-Cyrl-CS"/>
        </w:rPr>
        <w:t xml:space="preserve"> </w:t>
      </w:r>
      <w:r w:rsidR="004D5879">
        <w:t>2</w:t>
      </w:r>
      <w:r w:rsidR="009652A2">
        <w:t>9</w:t>
      </w:r>
      <w:r w:rsidR="00BE45E8"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ПОТРОШНОГ </w:t>
      </w:r>
      <w:r>
        <w:rPr>
          <w:b/>
          <w:color w:val="000000"/>
        </w:rPr>
        <w:t>МЕДИЦИНС</w:t>
      </w:r>
      <w:r w:rsidRPr="00BF03B1">
        <w:rPr>
          <w:b/>
          <w:color w:val="000000"/>
          <w:lang w:val="sr-Cyrl-CS"/>
        </w:rPr>
        <w:t>КОГ МАТЕРИЈАЛА</w:t>
      </w:r>
      <w:r>
        <w:rPr>
          <w:b/>
          <w:color w:val="000000"/>
          <w:lang w:val="sr-Cyrl-CS"/>
        </w:rPr>
        <w:t xml:space="preserve"> ЈН</w:t>
      </w:r>
      <w:r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2</w:t>
      </w:r>
      <w:r w:rsidRPr="00BF03B1">
        <w:rPr>
          <w:b/>
          <w:color w:val="000000"/>
          <w:lang w:val="sr-Cyrl-CS"/>
        </w:rPr>
        <w:t>/201</w:t>
      </w:r>
      <w:r>
        <w:rPr>
          <w:b/>
          <w:color w:val="000000"/>
          <w:lang w:val="sr-Cyrl-CS"/>
        </w:rPr>
        <w:t>7</w:t>
      </w:r>
      <w:r w:rsidRPr="00BF03B1">
        <w:rPr>
          <w:b/>
          <w:color w:val="000000"/>
          <w:lang w:val="sr-Cyrl-CS"/>
        </w:rPr>
        <w:t>ОП</w:t>
      </w:r>
    </w:p>
    <w:p w:rsidR="00213570" w:rsidRDefault="009652A2" w:rsidP="009652A2">
      <w:pPr>
        <w:jc w:val="both"/>
      </w:pPr>
      <w:r w:rsidRPr="000D6250">
        <w:rPr>
          <w:color w:val="000000"/>
          <w:lang w:val="sr-Cyrl-CS"/>
        </w:rPr>
        <w:t xml:space="preserve">                 </w:t>
      </w:r>
      <w:r w:rsidRPr="000D6250">
        <w:rPr>
          <w:color w:val="000000"/>
          <w:lang w:val="sr-Cyrl-CS"/>
        </w:rPr>
        <w:tab/>
      </w:r>
    </w:p>
    <w:p w:rsidR="00213570" w:rsidRPr="00213570" w:rsidRDefault="00213570" w:rsidP="000B16F9">
      <w:pPr>
        <w:ind w:firstLine="720"/>
        <w:jc w:val="both"/>
      </w:pPr>
    </w:p>
    <w:p w:rsidR="00213570" w:rsidRPr="009652A2" w:rsidRDefault="00213570" w:rsidP="0045246C">
      <w:pPr>
        <w:ind w:firstLine="720"/>
        <w:jc w:val="both"/>
        <w:rPr>
          <w:color w:val="000000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 w:rsidR="009652A2">
        <w:rPr>
          <w:lang w:val="sr-Cyrl-CS"/>
        </w:rPr>
        <w:t xml:space="preserve">тачке </w:t>
      </w:r>
      <w:r w:rsidR="009652A2" w:rsidRPr="009652A2">
        <w:rPr>
          <w:b/>
          <w:bCs/>
          <w:iCs/>
          <w:color w:val="000000"/>
        </w:rPr>
        <w:t>9. НАЧИН И УСЛОВ</w:t>
      </w:r>
      <w:r w:rsidR="009652A2" w:rsidRPr="009652A2">
        <w:rPr>
          <w:b/>
          <w:bCs/>
          <w:iCs/>
          <w:color w:val="000000"/>
          <w:lang w:val="sr-Cyrl-CS"/>
        </w:rPr>
        <w:t>И</w:t>
      </w:r>
      <w:r w:rsidR="009652A2" w:rsidRPr="009652A2">
        <w:rPr>
          <w:b/>
          <w:bCs/>
          <w:iCs/>
          <w:color w:val="000000"/>
        </w:rPr>
        <w:t xml:space="preserve"> ПЛАЋАЊА, ГАРАНТНИ РОК, КАО И ДРУГЕ ОКОЛНОСТИ ОД КОЈИХ ЗАВИСИ ПРИХВАТЉИВОСТ  ПОНУДЕ</w:t>
      </w:r>
      <w:r w:rsidR="009652A2">
        <w:rPr>
          <w:color w:val="000000"/>
        </w:rPr>
        <w:t xml:space="preserve"> (подтачка 9.3.) </w:t>
      </w:r>
      <w:r w:rsidRPr="00213570">
        <w:rPr>
          <w:b/>
          <w:lang w:val="sr-Cyrl-CS"/>
        </w:rPr>
        <w:t xml:space="preserve">на страни </w:t>
      </w:r>
      <w:r w:rsidR="009652A2">
        <w:rPr>
          <w:b/>
          <w:lang w:val="sr-Cyrl-CS"/>
        </w:rPr>
        <w:t>26/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Default="00213570" w:rsidP="00213570">
      <w:pPr>
        <w:autoSpaceDE w:val="0"/>
        <w:autoSpaceDN w:val="0"/>
        <w:adjustRightInd w:val="0"/>
        <w:jc w:val="both"/>
        <w:rPr>
          <w:b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6E0E0E" w:rsidRDefault="006E0E0E" w:rsidP="00213570">
      <w:pPr>
        <w:autoSpaceDE w:val="0"/>
        <w:autoSpaceDN w:val="0"/>
        <w:adjustRightInd w:val="0"/>
        <w:jc w:val="both"/>
        <w:rPr>
          <w:b/>
        </w:rPr>
      </w:pPr>
    </w:p>
    <w:p w:rsidR="009652A2" w:rsidRPr="000D6250" w:rsidRDefault="009652A2" w:rsidP="009652A2">
      <w:pPr>
        <w:jc w:val="both"/>
        <w:rPr>
          <w:color w:val="000000"/>
        </w:rPr>
      </w:pPr>
      <w:r w:rsidRPr="000D6250">
        <w:rPr>
          <w:b/>
          <w:bCs/>
          <w:i/>
          <w:iCs/>
          <w:color w:val="000000"/>
        </w:rPr>
        <w:t>9. НАЧИН И УСЛОВ</w:t>
      </w:r>
      <w:r w:rsidRPr="000D6250">
        <w:rPr>
          <w:b/>
          <w:bCs/>
          <w:i/>
          <w:iCs/>
          <w:color w:val="000000"/>
          <w:lang w:val="sr-Cyrl-CS"/>
        </w:rPr>
        <w:t>И</w:t>
      </w:r>
      <w:r w:rsidRPr="000D6250">
        <w:rPr>
          <w:b/>
          <w:bCs/>
          <w:i/>
          <w:iCs/>
          <w:color w:val="000000"/>
        </w:rPr>
        <w:t xml:space="preserve"> ПЛАЋАЊА, ГАРАНТНИ РОК, КАО И ДРУГЕ ОКОЛНОСТИ ОД КОЈИХ ЗАВИСИ ПРИХВАТЉИВОСТ  ПОНУДЕ</w:t>
      </w:r>
    </w:p>
    <w:p w:rsidR="009652A2" w:rsidRPr="000D6250" w:rsidRDefault="009652A2" w:rsidP="009652A2">
      <w:pPr>
        <w:jc w:val="both"/>
        <w:rPr>
          <w:color w:val="000000"/>
        </w:rPr>
      </w:pPr>
    </w:p>
    <w:p w:rsidR="009652A2" w:rsidRPr="000D6250" w:rsidRDefault="009652A2" w:rsidP="009652A2">
      <w:pPr>
        <w:jc w:val="both"/>
        <w:rPr>
          <w:iCs/>
          <w:color w:val="000000"/>
        </w:rPr>
      </w:pPr>
      <w:r w:rsidRPr="000D6250">
        <w:rPr>
          <w:b/>
          <w:bCs/>
          <w:iCs/>
          <w:color w:val="000000"/>
        </w:rPr>
        <w:t>9.1</w:t>
      </w:r>
      <w:r w:rsidRPr="000D6250">
        <w:rPr>
          <w:b/>
          <w:bCs/>
          <w:i/>
          <w:iCs/>
          <w:color w:val="000000"/>
        </w:rPr>
        <w:t xml:space="preserve">. </w:t>
      </w:r>
      <w:r w:rsidRPr="000D6250">
        <w:rPr>
          <w:iCs/>
          <w:color w:val="000000"/>
          <w:u w:val="single"/>
        </w:rPr>
        <w:t>Захтеви у погледу начина, рока и услова плаћања</w:t>
      </w:r>
      <w:r w:rsidRPr="000D6250">
        <w:rPr>
          <w:i/>
          <w:iCs/>
          <w:color w:val="000000"/>
          <w:u w:val="single"/>
        </w:rPr>
        <w:t>.</w:t>
      </w:r>
    </w:p>
    <w:p w:rsidR="009652A2" w:rsidRPr="000D6250" w:rsidRDefault="009652A2" w:rsidP="009652A2">
      <w:pPr>
        <w:jc w:val="both"/>
        <w:rPr>
          <w:i/>
          <w:iCs/>
          <w:color w:val="000000"/>
        </w:rPr>
      </w:pPr>
      <w:r w:rsidRPr="000D6250">
        <w:rPr>
          <w:iCs/>
          <w:color w:val="000000"/>
        </w:rPr>
        <w:t xml:space="preserve">Рок плаћања је </w:t>
      </w:r>
      <w:r w:rsidRPr="000D6250">
        <w:rPr>
          <w:iCs/>
          <w:color w:val="000000"/>
          <w:lang w:val="sr-Cyrl-CS"/>
        </w:rPr>
        <w:t>до 9</w:t>
      </w:r>
      <w:r w:rsidRPr="000D6250">
        <w:rPr>
          <w:iCs/>
          <w:color w:val="000000"/>
        </w:rPr>
        <w:t xml:space="preserve">0 </w:t>
      </w:r>
      <w:r w:rsidRPr="000D6250">
        <w:rPr>
          <w:iCs/>
          <w:color w:val="000000"/>
          <w:lang w:val="sr-Cyrl-CS"/>
        </w:rPr>
        <w:t xml:space="preserve">дана </w:t>
      </w:r>
      <w:r w:rsidRPr="000D6250">
        <w:rPr>
          <w:iCs/>
          <w:color w:val="000000"/>
        </w:rPr>
        <w:t xml:space="preserve">у складу са Законом о роковима измирења новчаних обавеза у комерцијалним трансакцијама </w:t>
      </w:r>
      <w:r w:rsidRPr="000D6250">
        <w:rPr>
          <w:rFonts w:eastAsia="TimesNewRomanPSMT"/>
          <w:color w:val="000000"/>
        </w:rPr>
        <w:t>(„Сл. гласник РС” бр. 119/2012</w:t>
      </w:r>
      <w:r>
        <w:rPr>
          <w:rFonts w:eastAsia="TimesNewRomanPSMT"/>
          <w:color w:val="000000"/>
        </w:rPr>
        <w:t xml:space="preserve"> и 68/2015</w:t>
      </w:r>
      <w:r w:rsidRPr="000D6250">
        <w:rPr>
          <w:rFonts w:eastAsia="TimesNewRomanPSMT"/>
          <w:color w:val="000000"/>
        </w:rPr>
        <w:t>)</w:t>
      </w:r>
      <w:r w:rsidRPr="000D6250">
        <w:rPr>
          <w:rFonts w:eastAsia="TimesNewRomanPSMT"/>
          <w:color w:val="000000"/>
          <w:lang w:val="sr-Latn-CS"/>
        </w:rPr>
        <w:t xml:space="preserve"> </w:t>
      </w:r>
      <w:r w:rsidRPr="000D6250">
        <w:rPr>
          <w:color w:val="000000"/>
        </w:rPr>
        <w:t>после испоруке добара, а након доставе фактуре</w:t>
      </w:r>
      <w:r w:rsidRPr="000D6250">
        <w:rPr>
          <w:iCs/>
          <w:color w:val="000000"/>
        </w:rPr>
        <w:t>.</w:t>
      </w:r>
    </w:p>
    <w:p w:rsidR="009652A2" w:rsidRPr="000D6250" w:rsidRDefault="009652A2" w:rsidP="009652A2">
      <w:pPr>
        <w:jc w:val="both"/>
        <w:rPr>
          <w:iCs/>
          <w:color w:val="000000"/>
          <w:lang w:val="sr-Cyrl-CS"/>
        </w:rPr>
      </w:pPr>
      <w:r w:rsidRPr="000D6250">
        <w:rPr>
          <w:iCs/>
          <w:color w:val="000000"/>
        </w:rPr>
        <w:t>Плаћање се врши уплатом на рачун понуђача.</w:t>
      </w:r>
      <w:r w:rsidRPr="000D6250">
        <w:rPr>
          <w:iCs/>
          <w:color w:val="000000"/>
          <w:lang w:val="sr-Cyrl-CS"/>
        </w:rPr>
        <w:t xml:space="preserve"> Понуђачу није дозвољено да захтева аванс.</w:t>
      </w:r>
    </w:p>
    <w:p w:rsidR="009652A2" w:rsidRPr="000D6250" w:rsidRDefault="009652A2" w:rsidP="009652A2">
      <w:pPr>
        <w:jc w:val="both"/>
        <w:rPr>
          <w:color w:val="000000"/>
          <w:lang w:val="sr-Cyrl-CS"/>
        </w:rPr>
      </w:pPr>
    </w:p>
    <w:p w:rsidR="009652A2" w:rsidRPr="000D6250" w:rsidRDefault="009652A2" w:rsidP="009652A2">
      <w:pPr>
        <w:jc w:val="both"/>
        <w:rPr>
          <w:iCs/>
          <w:color w:val="000000"/>
          <w:lang w:val="sr-Cyrl-CS"/>
        </w:rPr>
      </w:pPr>
      <w:r w:rsidRPr="000D6250">
        <w:rPr>
          <w:b/>
          <w:bCs/>
          <w:iCs/>
          <w:color w:val="000000"/>
          <w:lang w:val="sr-Cyrl-CS"/>
        </w:rPr>
        <w:t xml:space="preserve">9.2. </w:t>
      </w:r>
      <w:r w:rsidRPr="000D6250">
        <w:rPr>
          <w:iCs/>
          <w:color w:val="000000"/>
          <w:u w:val="single"/>
          <w:lang w:val="sr-Cyrl-CS"/>
        </w:rPr>
        <w:t>Захтев у погледу рока важења понуде</w:t>
      </w:r>
    </w:p>
    <w:p w:rsidR="009652A2" w:rsidRPr="000D6250" w:rsidRDefault="009652A2" w:rsidP="009652A2">
      <w:pPr>
        <w:jc w:val="both"/>
        <w:rPr>
          <w:iCs/>
          <w:color w:val="000000"/>
          <w:lang w:val="sr-Cyrl-CS"/>
        </w:rPr>
      </w:pPr>
      <w:r w:rsidRPr="000D6250">
        <w:rPr>
          <w:iCs/>
          <w:color w:val="000000"/>
          <w:lang w:val="sr-Cyrl-CS"/>
        </w:rPr>
        <w:t>Рок важења понуде не може бити краћи од 30 дана од дана отварања понуда.</w:t>
      </w:r>
    </w:p>
    <w:p w:rsidR="009652A2" w:rsidRPr="000D6250" w:rsidRDefault="009652A2" w:rsidP="009652A2">
      <w:pPr>
        <w:jc w:val="both"/>
        <w:rPr>
          <w:iCs/>
          <w:color w:val="000000"/>
          <w:lang w:val="sr-Cyrl-CS"/>
        </w:rPr>
      </w:pPr>
      <w:r w:rsidRPr="000D6250">
        <w:rPr>
          <w:iCs/>
          <w:color w:val="000000"/>
          <w:lang w:val="sr-Cyrl-CS"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:rsidR="009652A2" w:rsidRDefault="009652A2" w:rsidP="009652A2">
      <w:pPr>
        <w:jc w:val="both"/>
        <w:rPr>
          <w:iCs/>
          <w:color w:val="000000"/>
        </w:rPr>
      </w:pPr>
      <w:r w:rsidRPr="000D6250">
        <w:rPr>
          <w:iCs/>
          <w:color w:val="000000"/>
          <w:lang w:val="sr-Cyrl-CS"/>
        </w:rPr>
        <w:t>Понуђач који прихвати захтев за продужење рока важења понуде на може мењати понуду.</w:t>
      </w:r>
    </w:p>
    <w:p w:rsidR="009652A2" w:rsidRPr="00815AEF" w:rsidRDefault="009652A2" w:rsidP="009652A2">
      <w:pPr>
        <w:jc w:val="both"/>
        <w:rPr>
          <w:b/>
          <w:iCs/>
          <w:color w:val="000000"/>
          <w:lang/>
        </w:rPr>
      </w:pPr>
    </w:p>
    <w:p w:rsidR="0045246C" w:rsidRDefault="009652A2" w:rsidP="009652A2">
      <w:pPr>
        <w:jc w:val="both"/>
        <w:rPr>
          <w:iCs/>
          <w:color w:val="000000"/>
          <w:lang/>
        </w:rPr>
      </w:pPr>
      <w:r w:rsidRPr="007105F8">
        <w:rPr>
          <w:b/>
          <w:iCs/>
          <w:color w:val="000000"/>
        </w:rPr>
        <w:t>9.3.</w:t>
      </w:r>
      <w:r>
        <w:rPr>
          <w:iCs/>
          <w:color w:val="000000"/>
        </w:rPr>
        <w:t xml:space="preserve"> </w:t>
      </w:r>
      <w:r w:rsidR="0045246C" w:rsidRPr="0045246C">
        <w:rPr>
          <w:iCs/>
          <w:color w:val="000000"/>
          <w:u w:val="single"/>
          <w:lang/>
        </w:rPr>
        <w:t>Захтев у погледу рока испоруке добара</w:t>
      </w:r>
    </w:p>
    <w:p w:rsidR="009652A2" w:rsidRPr="00003B79" w:rsidRDefault="009652A2" w:rsidP="009652A2">
      <w:pPr>
        <w:jc w:val="both"/>
        <w:rPr>
          <w:color w:val="000000"/>
        </w:rPr>
      </w:pPr>
      <w:r w:rsidRPr="000D6250">
        <w:rPr>
          <w:color w:val="000000"/>
        </w:rPr>
        <w:t>Прихватамо само производе којима</w:t>
      </w:r>
      <w:r>
        <w:rPr>
          <w:color w:val="000000"/>
        </w:rPr>
        <w:t xml:space="preserve"> рок трајања</w:t>
      </w:r>
      <w:r w:rsidRPr="000D6250">
        <w:rPr>
          <w:color w:val="000000"/>
        </w:rPr>
        <w:t xml:space="preserve"> </w:t>
      </w:r>
      <w:r w:rsidRPr="000D6250">
        <w:rPr>
          <w:color w:val="000000"/>
          <w:lang w:val="sr-Cyrl-CS"/>
        </w:rPr>
        <w:t xml:space="preserve">износи минимално </w:t>
      </w:r>
      <w:r w:rsidRPr="009652A2">
        <w:rPr>
          <w:color w:val="000000"/>
          <w:lang w:val="sr-Cyrl-CS"/>
        </w:rPr>
        <w:t>12 месеци од дана испоруке</w:t>
      </w:r>
      <w:r w:rsidRPr="009652A2">
        <w:rPr>
          <w:color w:val="000000"/>
        </w:rPr>
        <w:t>.</w:t>
      </w:r>
      <w:r>
        <w:rPr>
          <w:color w:val="000000"/>
        </w:rPr>
        <w:t xml:space="preserve"> </w:t>
      </w:r>
      <w:r w:rsidRPr="000D6250">
        <w:rPr>
          <w:color w:val="000000"/>
          <w:lang w:val="sr-Cyrl-CS"/>
        </w:rPr>
        <w:t>Место испоруке: франко – магацин купца, радним даном до 13</w:t>
      </w:r>
      <w:r w:rsidRPr="000D6250">
        <w:rPr>
          <w:color w:val="000000"/>
        </w:rPr>
        <w:t>h</w:t>
      </w:r>
      <w:r>
        <w:rPr>
          <w:color w:val="000000"/>
        </w:rPr>
        <w:t>.</w:t>
      </w:r>
    </w:p>
    <w:p w:rsidR="009652A2" w:rsidRPr="009652A2" w:rsidRDefault="009652A2" w:rsidP="009652A2">
      <w:pPr>
        <w:pStyle w:val="ListParagraph"/>
        <w:ind w:left="0" w:right="49"/>
        <w:jc w:val="both"/>
        <w:rPr>
          <w:b/>
        </w:rPr>
      </w:pPr>
      <w:r w:rsidRPr="009652A2">
        <w:rPr>
          <w:b/>
        </w:rPr>
        <w:t>Понуђач је дужан да испоруку добара врши</w:t>
      </w:r>
      <w:r w:rsidRPr="009652A2">
        <w:rPr>
          <w:b/>
          <w:lang w:val="sr-Latn-CS"/>
        </w:rPr>
        <w:t xml:space="preserve"> </w:t>
      </w:r>
      <w:r w:rsidRPr="009652A2">
        <w:rPr>
          <w:b/>
        </w:rPr>
        <w:t xml:space="preserve">након пријема писменог или усменог Захтева од стране наручиоца а најдуже у року </w:t>
      </w:r>
      <w:r w:rsidR="00C94A68">
        <w:rPr>
          <w:b/>
        </w:rPr>
        <w:t>до</w:t>
      </w:r>
      <w:r w:rsidRPr="009652A2">
        <w:rPr>
          <w:b/>
        </w:rPr>
        <w:t xml:space="preserve"> </w:t>
      </w:r>
      <w:r>
        <w:rPr>
          <w:b/>
        </w:rPr>
        <w:t>48 часова</w:t>
      </w:r>
      <w:r w:rsidRPr="009652A2">
        <w:rPr>
          <w:b/>
        </w:rPr>
        <w:t xml:space="preserve"> од дана пријема истог.</w:t>
      </w:r>
    </w:p>
    <w:p w:rsidR="0045246C" w:rsidRDefault="0045246C" w:rsidP="009652A2">
      <w:pPr>
        <w:jc w:val="both"/>
        <w:rPr>
          <w:b/>
          <w:bCs/>
          <w:i/>
          <w:iCs/>
          <w:color w:val="000000"/>
          <w:lang w:val="sr-Cyrl-CS"/>
        </w:rPr>
      </w:pPr>
    </w:p>
    <w:p w:rsidR="00815AEF" w:rsidRPr="000D6250" w:rsidRDefault="00815AEF" w:rsidP="009652A2">
      <w:pPr>
        <w:jc w:val="both"/>
        <w:rPr>
          <w:b/>
          <w:bCs/>
          <w:i/>
          <w:iCs/>
          <w:color w:val="000000"/>
          <w:lang w:val="sr-Cyrl-CS"/>
        </w:rPr>
      </w:pPr>
    </w:p>
    <w:p w:rsidR="004C063C" w:rsidRPr="004C063C" w:rsidRDefault="00C31F7C" w:rsidP="009652A2">
      <w:pPr>
        <w:jc w:val="both"/>
        <w:rPr>
          <w:color w:val="000000"/>
        </w:rPr>
      </w:pPr>
      <w:r w:rsidRPr="00B673B9">
        <w:rPr>
          <w:color w:val="000000"/>
          <w:lang w:val="sr-Cyrl-CS"/>
        </w:rPr>
        <w:t xml:space="preserve">        </w:t>
      </w:r>
      <w:r w:rsidR="009652A2" w:rsidRPr="00347144">
        <w:rPr>
          <w:lang w:val="sr-Cyrl-CS"/>
        </w:rPr>
        <w:t>Врши се измен</w:t>
      </w:r>
      <w:r w:rsidR="009652A2">
        <w:rPr>
          <w:lang w:val="sr-Cyrl-CS"/>
        </w:rPr>
        <w:t xml:space="preserve">а у делу </w:t>
      </w:r>
      <w:r w:rsidR="009652A2" w:rsidRPr="000D6250">
        <w:rPr>
          <w:b/>
          <w:bCs/>
          <w:color w:val="000000"/>
        </w:rPr>
        <w:t>VI КРИТЕРИЈУМИ ЗА ДОДЕЛУ УГОВОРА, ЕЛЕМЕНТИ КРИТЕРИЈУМА НА ОСНОВУ КОЈИХ СЕ ДОДЕЉУЈЕ УГОВОР И МЕТОДОЛОГИЈА ЗА ДОДЕЛУ ПОНДЕРА ЗА СВАКИ ЕЛЕМЕНТ КРИТЕРИЈУМА</w:t>
      </w:r>
      <w:r w:rsidR="009652A2">
        <w:rPr>
          <w:color w:val="000000"/>
        </w:rPr>
        <w:t xml:space="preserve"> </w:t>
      </w:r>
      <w:r w:rsidR="009652A2" w:rsidRPr="00213570">
        <w:rPr>
          <w:b/>
          <w:lang w:val="sr-Cyrl-CS"/>
        </w:rPr>
        <w:t xml:space="preserve">на страни </w:t>
      </w:r>
      <w:r w:rsidR="009652A2">
        <w:rPr>
          <w:b/>
          <w:lang w:val="sr-Cyrl-CS"/>
        </w:rPr>
        <w:t>33/</w:t>
      </w:r>
      <w:r w:rsidR="009652A2" w:rsidRPr="00213570">
        <w:rPr>
          <w:b/>
        </w:rPr>
        <w:t>63</w:t>
      </w:r>
      <w:r w:rsidR="009652A2">
        <w:rPr>
          <w:lang w:val="sr-Cyrl-CS"/>
        </w:rPr>
        <w:t xml:space="preserve"> </w:t>
      </w:r>
      <w:r w:rsidR="009652A2" w:rsidRPr="0057231F">
        <w:rPr>
          <w:lang w:val="sr-Cyrl-CS"/>
        </w:rPr>
        <w:t>Конкурсн</w:t>
      </w:r>
      <w:r w:rsidR="009652A2">
        <w:t>e</w:t>
      </w:r>
      <w:r w:rsidR="009652A2" w:rsidRPr="0057231F">
        <w:rPr>
          <w:lang w:val="sr-Cyrl-CS"/>
        </w:rPr>
        <w:t xml:space="preserve"> документациј</w:t>
      </w:r>
      <w:r w:rsidR="009652A2">
        <w:t>e</w:t>
      </w:r>
      <w:r w:rsidR="009652A2" w:rsidRPr="0057231F">
        <w:rPr>
          <w:lang w:val="sr-Cyrl-CS"/>
        </w:rPr>
        <w:t xml:space="preserve"> за јавну набавку отворени поступак ЈН бр. </w:t>
      </w:r>
      <w:r w:rsidR="009652A2">
        <w:t>2</w:t>
      </w:r>
      <w:r w:rsidR="009652A2" w:rsidRPr="0057231F">
        <w:rPr>
          <w:lang w:val="sr-Cyrl-CS"/>
        </w:rPr>
        <w:t>/</w:t>
      </w:r>
      <w:r w:rsidR="009652A2">
        <w:rPr>
          <w:lang w:val="sr-Cyrl-CS"/>
        </w:rPr>
        <w:t>2017ОП</w:t>
      </w:r>
      <w:r w:rsidR="009652A2" w:rsidRPr="00347144">
        <w:rPr>
          <w:lang w:val="sr-Cyrl-CS"/>
        </w:rPr>
        <w:t xml:space="preserve"> за потребе Дома</w:t>
      </w:r>
      <w:r w:rsidR="009652A2">
        <w:rPr>
          <w:lang w:val="sr-Cyrl-CS"/>
        </w:rPr>
        <w:t xml:space="preserve"> здравља Сремска Митровица</w:t>
      </w:r>
      <w:r w:rsidR="009652A2">
        <w:t>.</w:t>
      </w:r>
    </w:p>
    <w:p w:rsidR="009652A2" w:rsidRDefault="0045246C" w:rsidP="009652A2">
      <w:pPr>
        <w:rPr>
          <w:color w:val="000000"/>
        </w:rPr>
      </w:pPr>
      <w:r>
        <w:rPr>
          <w:color w:val="000000"/>
          <w:lang w:val="sr-Cyrl-CS"/>
        </w:rPr>
        <w:t xml:space="preserve">             </w:t>
      </w:r>
      <w:r w:rsidR="00C31F7C" w:rsidRPr="00B673B9">
        <w:rPr>
          <w:color w:val="000000"/>
          <w:lang w:val="sr-Cyrl-CS"/>
        </w:rPr>
        <w:t xml:space="preserve">                                                                                   </w:t>
      </w:r>
      <w:r w:rsidR="00C31F7C" w:rsidRPr="00B673B9">
        <w:rPr>
          <w:color w:val="000000"/>
        </w:rPr>
        <w:t xml:space="preserve">      </w:t>
      </w:r>
    </w:p>
    <w:p w:rsidR="009652A2" w:rsidRPr="009652A2" w:rsidRDefault="009652A2" w:rsidP="009652A2">
      <w:pPr>
        <w:rPr>
          <w:color w:val="000000"/>
        </w:rPr>
      </w:pPr>
      <w:r w:rsidRPr="00213570">
        <w:rPr>
          <w:b/>
        </w:rPr>
        <w:lastRenderedPageBreak/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9652A2" w:rsidRDefault="009652A2" w:rsidP="009652A2">
      <w:pPr>
        <w:jc w:val="center"/>
        <w:rPr>
          <w:b/>
          <w:bCs/>
          <w:color w:val="000000"/>
        </w:rPr>
      </w:pPr>
    </w:p>
    <w:p w:rsidR="009652A2" w:rsidRDefault="009652A2" w:rsidP="009652A2">
      <w:pPr>
        <w:jc w:val="center"/>
        <w:rPr>
          <w:b/>
          <w:bCs/>
          <w:color w:val="000000"/>
        </w:rPr>
      </w:pPr>
    </w:p>
    <w:p w:rsidR="009652A2" w:rsidRPr="000D6250" w:rsidRDefault="009652A2" w:rsidP="009652A2">
      <w:pPr>
        <w:jc w:val="center"/>
        <w:rPr>
          <w:color w:val="000000"/>
        </w:rPr>
      </w:pPr>
      <w:r w:rsidRPr="000D6250">
        <w:rPr>
          <w:b/>
          <w:bCs/>
          <w:color w:val="000000"/>
        </w:rPr>
        <w:t>VI КРИТЕРИЈУМИ ЗА ДОДЕЛУ УГОВОРА, ЕЛЕМЕНТИ КРИТЕРИЈУМА НА ОСНОВУ КОЈИХ СЕ ДОДЕЉУЈЕ УГОВОР И МЕТОДОЛОГИЈА ЗА ДОДЕЛУ ПОНДЕРА ЗА СВАКИ ЕЛЕМЕНТ КРИТЕРИЈУМА</w:t>
      </w:r>
    </w:p>
    <w:p w:rsidR="009652A2" w:rsidRPr="000D6250" w:rsidRDefault="009652A2" w:rsidP="009652A2">
      <w:pPr>
        <w:jc w:val="both"/>
        <w:rPr>
          <w:color w:val="000000"/>
        </w:rPr>
      </w:pPr>
    </w:p>
    <w:p w:rsidR="009652A2" w:rsidRPr="00E95444" w:rsidRDefault="009652A2" w:rsidP="009652A2">
      <w:pPr>
        <w:jc w:val="both"/>
        <w:rPr>
          <w:color w:val="000000"/>
        </w:rPr>
      </w:pPr>
    </w:p>
    <w:p w:rsidR="009652A2" w:rsidRPr="00F30918" w:rsidRDefault="009652A2" w:rsidP="009652A2">
      <w:pPr>
        <w:overflowPunct w:val="0"/>
        <w:autoSpaceDE w:val="0"/>
        <w:autoSpaceDN w:val="0"/>
        <w:adjustRightInd w:val="0"/>
        <w:jc w:val="both"/>
        <w:rPr>
          <w:b/>
          <w:color w:val="000000"/>
        </w:rPr>
      </w:pPr>
      <w:r w:rsidRPr="00F30918">
        <w:rPr>
          <w:color w:val="000000"/>
        </w:rPr>
        <w:t xml:space="preserve">Избор најповољније понуде ће се извршити применом критеријума </w:t>
      </w:r>
      <w:r w:rsidRPr="00F30918">
        <w:rPr>
          <w:b/>
          <w:bCs/>
          <w:color w:val="000000"/>
        </w:rPr>
        <w:t xml:space="preserve">„Најнижа понуђена цена“. </w:t>
      </w:r>
    </w:p>
    <w:p w:rsidR="009652A2" w:rsidRPr="00F30918" w:rsidRDefault="009652A2" w:rsidP="009652A2">
      <w:pPr>
        <w:jc w:val="both"/>
        <w:rPr>
          <w:b/>
          <w:color w:val="000000"/>
        </w:rPr>
      </w:pPr>
    </w:p>
    <w:p w:rsidR="009652A2" w:rsidRPr="0045246C" w:rsidRDefault="009652A2" w:rsidP="009652A2">
      <w:pPr>
        <w:jc w:val="both"/>
        <w:rPr>
          <w:b/>
          <w:color w:val="000000"/>
          <w:lang/>
        </w:rPr>
      </w:pPr>
    </w:p>
    <w:p w:rsidR="009652A2" w:rsidRPr="00F30918" w:rsidRDefault="009652A2" w:rsidP="009652A2">
      <w:pPr>
        <w:jc w:val="center"/>
        <w:rPr>
          <w:b/>
          <w:bCs/>
          <w:color w:val="000000"/>
        </w:rPr>
      </w:pPr>
      <w:r w:rsidRPr="00F30918">
        <w:rPr>
          <w:b/>
          <w:bCs/>
          <w:color w:val="000000"/>
        </w:rPr>
        <w:t>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</w:t>
      </w:r>
    </w:p>
    <w:p w:rsidR="009652A2" w:rsidRPr="00F30918" w:rsidRDefault="009652A2" w:rsidP="009652A2">
      <w:pPr>
        <w:jc w:val="both"/>
        <w:rPr>
          <w:b/>
          <w:bCs/>
          <w:color w:val="000000"/>
        </w:rPr>
      </w:pPr>
    </w:p>
    <w:p w:rsidR="00815AEF" w:rsidRDefault="009652A2" w:rsidP="0045246C">
      <w:pPr>
        <w:jc w:val="both"/>
        <w:rPr>
          <w:bCs/>
          <w:iCs/>
        </w:rPr>
      </w:pPr>
      <w:r w:rsidRPr="00BF531F">
        <w:rPr>
          <w:iCs/>
        </w:rPr>
        <w:t xml:space="preserve">Уколико две или више понуда имају исту најнижу понуђену цену, </w:t>
      </w:r>
      <w:r w:rsidRPr="00721228">
        <w:rPr>
          <w:bCs/>
          <w:iCs/>
        </w:rPr>
        <w:t>као најповољнија понуда биће изабрана понуда оног Понуђача који</w:t>
      </w:r>
      <w:r>
        <w:rPr>
          <w:bCs/>
          <w:iCs/>
        </w:rPr>
        <w:t xml:space="preserve"> је</w:t>
      </w:r>
      <w:r w:rsidRPr="00721228">
        <w:rPr>
          <w:bCs/>
          <w:iCs/>
        </w:rPr>
        <w:t xml:space="preserve"> </w:t>
      </w:r>
      <w:r>
        <w:rPr>
          <w:bCs/>
          <w:iCs/>
        </w:rPr>
        <w:t>понудио краћи рок испоруке,</w:t>
      </w:r>
      <w:r w:rsidRPr="00721228">
        <w:rPr>
          <w:bCs/>
          <w:iCs/>
        </w:rPr>
        <w:t xml:space="preserve"> по пријему писменог или </w:t>
      </w:r>
      <w:r w:rsidRPr="0045246C">
        <w:rPr>
          <w:bCs/>
          <w:iCs/>
        </w:rPr>
        <w:t>усменог Захтева од стране Наручиоца за испоруку истих.</w:t>
      </w:r>
      <w:r w:rsidR="0045246C" w:rsidRPr="0045246C">
        <w:rPr>
          <w:bCs/>
          <w:iCs/>
        </w:rPr>
        <w:t xml:space="preserve"> </w:t>
      </w:r>
    </w:p>
    <w:p w:rsidR="0045246C" w:rsidRPr="00204B73" w:rsidRDefault="00815AEF" w:rsidP="0045246C">
      <w:pPr>
        <w:jc w:val="both"/>
        <w:rPr>
          <w:sz w:val="27"/>
          <w:szCs w:val="27"/>
        </w:rPr>
      </w:pPr>
      <w:r>
        <w:rPr>
          <w:lang/>
        </w:rPr>
        <w:t>У ситуацији када постоје две или више понуда са истом понуђеном ценом и истим роком испоруке,</w:t>
      </w:r>
      <w:r w:rsidR="0045246C" w:rsidRPr="0045246C">
        <w:t xml:space="preserve"> Наручилац ће уговор доделити понуђачу који буде извучен путем жреба. Наручилац ће писмено обавестити све понуђаче</w:t>
      </w:r>
      <w:r>
        <w:t xml:space="preserve"> </w:t>
      </w:r>
      <w:r w:rsidR="0045246C" w:rsidRPr="0045246C">
        <w:t>који су поднели понуде</w:t>
      </w:r>
      <w:r>
        <w:rPr>
          <w:lang/>
        </w:rPr>
        <w:t xml:space="preserve"> </w:t>
      </w:r>
      <w:r w:rsidR="0045246C" w:rsidRPr="0045246C">
        <w:t>о</w:t>
      </w:r>
      <w:r>
        <w:rPr>
          <w:lang/>
        </w:rPr>
        <w:t xml:space="preserve"> </w:t>
      </w:r>
      <w:r w:rsidR="0045246C" w:rsidRPr="0045246C">
        <w:t>датуму када ће се одржати извлачење путем жреба. Жребом ће бити обухваћене само оне понуде које</w:t>
      </w:r>
      <w:r>
        <w:rPr>
          <w:lang/>
        </w:rPr>
        <w:t xml:space="preserve"> </w:t>
      </w:r>
      <w:r w:rsidR="0045246C" w:rsidRPr="0045246C">
        <w:t>имају једнаку најнижу понуђену цену</w:t>
      </w:r>
      <w:r>
        <w:rPr>
          <w:lang/>
        </w:rPr>
        <w:t xml:space="preserve"> </w:t>
      </w:r>
      <w:r w:rsidR="0045246C" w:rsidRPr="0045246C">
        <w:t>и исти рок важења понуде.</w:t>
      </w:r>
      <w:r>
        <w:rPr>
          <w:lang/>
        </w:rPr>
        <w:t xml:space="preserve"> </w:t>
      </w:r>
      <w:r w:rsidR="0045246C" w:rsidRPr="0045246C">
        <w:t>Извлачење путем жреба Наручилац ће</w:t>
      </w:r>
      <w:r>
        <w:rPr>
          <w:lang/>
        </w:rPr>
        <w:t xml:space="preserve"> </w:t>
      </w:r>
      <w:r w:rsidR="0045246C" w:rsidRPr="0045246C">
        <w:t>извршити јавно, у присуству понуђача, и то тако што ће називе понуђача исписати на одвојеним папирима,</w:t>
      </w:r>
      <w:r>
        <w:rPr>
          <w:lang/>
        </w:rPr>
        <w:t xml:space="preserve"> </w:t>
      </w:r>
      <w:r w:rsidR="0045246C" w:rsidRPr="0045246C">
        <w:t>који су исте величине и боје, те ће све те папире ставити у провидну кутију одакле ће извући само један</w:t>
      </w:r>
      <w:r>
        <w:rPr>
          <w:lang/>
        </w:rPr>
        <w:t xml:space="preserve"> </w:t>
      </w:r>
      <w:r w:rsidR="0045246C" w:rsidRPr="0045246C">
        <w:t>папир. Понуђачу чији назив буде на извученом папиру ће бити додељен уговор. Понуђачима који не</w:t>
      </w:r>
      <w:r>
        <w:rPr>
          <w:lang/>
        </w:rPr>
        <w:t xml:space="preserve"> </w:t>
      </w:r>
      <w:r w:rsidR="0045246C" w:rsidRPr="0045246C">
        <w:t>присуствују овом поступку, Наручилац ће доставити записник извлачења путем жреба.</w:t>
      </w:r>
    </w:p>
    <w:p w:rsidR="0045246C" w:rsidRPr="0045246C" w:rsidRDefault="0045246C" w:rsidP="00ED384D">
      <w:pPr>
        <w:jc w:val="both"/>
        <w:rPr>
          <w:color w:val="000000"/>
          <w:lang/>
        </w:rPr>
      </w:pPr>
    </w:p>
    <w:p w:rsidR="0045246C" w:rsidRDefault="0045246C" w:rsidP="00ED384D">
      <w:pPr>
        <w:jc w:val="both"/>
        <w:rPr>
          <w:color w:val="000000"/>
          <w:lang w:val="sr-Cyrl-CS"/>
        </w:rPr>
      </w:pPr>
    </w:p>
    <w:p w:rsidR="00815AEF" w:rsidRDefault="00815AEF" w:rsidP="00ED384D">
      <w:pPr>
        <w:jc w:val="both"/>
        <w:rPr>
          <w:color w:val="000000"/>
          <w:lang w:val="sr-Cyrl-CS"/>
        </w:rPr>
      </w:pPr>
    </w:p>
    <w:p w:rsidR="00FF4EAA" w:rsidRDefault="00FF4EAA" w:rsidP="00FF4EAA">
      <w:pPr>
        <w:jc w:val="both"/>
      </w:pPr>
      <w:r w:rsidRPr="00B673B9">
        <w:rPr>
          <w:color w:val="000000"/>
          <w:lang w:val="sr-Cyrl-CS"/>
        </w:rPr>
        <w:t xml:space="preserve">        </w:t>
      </w: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тачке </w:t>
      </w:r>
      <w:r w:rsidRPr="00FF4EAA">
        <w:rPr>
          <w:b/>
          <w:lang w:val="sr-Cyrl-CS"/>
        </w:rPr>
        <w:t>5) ОПИС ПРЕДМЕТА НАБАВКЕ – ПОТРОШНИ МЕДИЦИНСКИ МАТЕРИЈАЛ</w:t>
      </w:r>
      <w:r w:rsidRPr="00FF4EAA">
        <w:rPr>
          <w:b/>
          <w:color w:val="000000"/>
        </w:rPr>
        <w:t xml:space="preserve"> (ставка Рок испоруке)</w:t>
      </w:r>
      <w:r>
        <w:rPr>
          <w:color w:val="000000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>
        <w:rPr>
          <w:b/>
          <w:lang w:val="sr-Cyrl-CS"/>
        </w:rPr>
        <w:t>38/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FF4EAA" w:rsidRDefault="00FF4EAA" w:rsidP="00FF4EAA">
      <w:pPr>
        <w:rPr>
          <w:b/>
          <w:lang/>
        </w:rPr>
      </w:pPr>
    </w:p>
    <w:p w:rsidR="00FF4EAA" w:rsidRDefault="00FF4EAA" w:rsidP="00FF4EAA">
      <w:pPr>
        <w:rPr>
          <w:b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FF4EAA" w:rsidRPr="00FF4EAA" w:rsidRDefault="00FF4EAA" w:rsidP="00FF4EAA">
      <w:pPr>
        <w:rPr>
          <w:b/>
        </w:rPr>
      </w:pPr>
    </w:p>
    <w:p w:rsidR="00FF4EAA" w:rsidRPr="000D6250" w:rsidRDefault="00FF4EAA" w:rsidP="00FF4EAA">
      <w:pPr>
        <w:numPr>
          <w:ilvl w:val="0"/>
          <w:numId w:val="14"/>
        </w:numPr>
        <w:jc w:val="both"/>
        <w:rPr>
          <w:rFonts w:eastAsia="TimesNewRomanPSMT"/>
          <w:b/>
          <w:bCs/>
          <w:color w:val="000000"/>
          <w:lang w:val="sr-Cyrl-CS"/>
        </w:rPr>
      </w:pPr>
      <w:r w:rsidRPr="000D6250">
        <w:rPr>
          <w:rFonts w:eastAsia="TimesNewRomanPSMT"/>
          <w:b/>
          <w:bCs/>
          <w:color w:val="000000"/>
          <w:lang w:val="ru-RU"/>
        </w:rPr>
        <w:t>ОПИС ПРЕДМЕТА НАБАВКЕ</w:t>
      </w:r>
      <w:r w:rsidRPr="000D6250">
        <w:rPr>
          <w:rFonts w:eastAsia="TimesNewRomanPSMT"/>
          <w:b/>
          <w:bCs/>
          <w:color w:val="000000"/>
          <w:lang w:val="sr-Cyrl-CS"/>
        </w:rPr>
        <w:t xml:space="preserve"> – ПОТРОШНИ МЕДИЦИНСКИ МАТЕРИЈАЛ</w:t>
      </w:r>
    </w:p>
    <w:p w:rsidR="00FF4EAA" w:rsidRPr="000D6250" w:rsidRDefault="00FF4EAA" w:rsidP="00FF4EAA">
      <w:pPr>
        <w:ind w:left="720"/>
        <w:jc w:val="both"/>
        <w:rPr>
          <w:rFonts w:eastAsia="TimesNewRomanPSMT"/>
          <w:b/>
          <w:bCs/>
          <w:color w:val="000000"/>
          <w:lang w:val="sr-Cyrl-CS"/>
        </w:rPr>
      </w:pPr>
    </w:p>
    <w:tbl>
      <w:tblPr>
        <w:tblW w:w="10332" w:type="dxa"/>
        <w:jc w:val="center"/>
        <w:tblInd w:w="-230" w:type="dxa"/>
        <w:tblLook w:val="0000"/>
      </w:tblPr>
      <w:tblGrid>
        <w:gridCol w:w="6701"/>
        <w:gridCol w:w="1843"/>
        <w:gridCol w:w="1788"/>
      </w:tblGrid>
      <w:tr w:rsidR="00FF4EAA" w:rsidRPr="000D6250" w:rsidTr="00636DC3">
        <w:trPr>
          <w:trHeight w:val="475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AA" w:rsidRPr="000D6250" w:rsidRDefault="00FF4EAA" w:rsidP="00636DC3">
            <w:pPr>
              <w:snapToGrid w:val="0"/>
              <w:jc w:val="center"/>
              <w:rPr>
                <w:rFonts w:eastAsia="TimesNewRomanPSMT"/>
                <w:b/>
                <w:bCs/>
                <w:color w:val="000000"/>
                <w:lang w:val="ru-RU"/>
              </w:rPr>
            </w:pPr>
          </w:p>
          <w:p w:rsidR="00FF4EAA" w:rsidRPr="000D6250" w:rsidRDefault="00FF4EAA" w:rsidP="00636DC3">
            <w:pPr>
              <w:snapToGrid w:val="0"/>
              <w:jc w:val="center"/>
              <w:rPr>
                <w:rFonts w:eastAsia="TimesNewRomanPSMT"/>
                <w:b/>
                <w:bCs/>
                <w:color w:val="000000"/>
                <w:lang w:val="ru-RU"/>
              </w:rPr>
            </w:pPr>
            <w:r>
              <w:rPr>
                <w:rFonts w:eastAsia="TimesNewRomanPSMT"/>
                <w:b/>
                <w:bCs/>
                <w:color w:val="000000"/>
                <w:lang w:val="ru-RU"/>
              </w:rPr>
              <w:t>ОПИС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jc w:val="center"/>
              <w:rPr>
                <w:rFonts w:eastAsia="TimesNewRomanPSMT"/>
                <w:b/>
                <w:bCs/>
                <w:color w:val="000000"/>
                <w:lang w:val="ru-RU"/>
              </w:rPr>
            </w:pPr>
            <w:r w:rsidRPr="000D6250">
              <w:rPr>
                <w:rFonts w:eastAsia="TimesNewRomanPSMT"/>
                <w:b/>
                <w:bCs/>
                <w:color w:val="000000"/>
                <w:lang w:val="ru-RU"/>
              </w:rPr>
              <w:t>Укупна цена без ПДВ-а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jc w:val="center"/>
              <w:rPr>
                <w:rFonts w:eastAsia="TimesNewRomanPSMT"/>
                <w:b/>
                <w:bCs/>
                <w:color w:val="000000"/>
                <w:lang w:val="ru-RU"/>
              </w:rPr>
            </w:pPr>
            <w:r w:rsidRPr="000D6250">
              <w:rPr>
                <w:rFonts w:eastAsia="TimesNewRomanPSMT"/>
                <w:b/>
                <w:bCs/>
                <w:color w:val="000000"/>
                <w:lang w:val="ru-RU"/>
              </w:rPr>
              <w:t>Укупна цена са ПДВ-ом</w:t>
            </w:r>
          </w:p>
        </w:tc>
      </w:tr>
      <w:tr w:rsidR="00FF4EAA" w:rsidRPr="000D6250" w:rsidTr="00636DC3">
        <w:trPr>
          <w:trHeight w:val="32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sz w:val="22"/>
              </w:rPr>
            </w:pPr>
            <w:r w:rsidRPr="00F30918">
              <w:rPr>
                <w:bCs/>
                <w:sz w:val="22"/>
              </w:rPr>
              <w:t xml:space="preserve">Партија 1 – </w:t>
            </w:r>
            <w:r w:rsidRPr="00F30918">
              <w:rPr>
                <w:color w:val="000000"/>
                <w:sz w:val="22"/>
              </w:rPr>
              <w:t>ЕКГ, ЦТГ ТРАКЕ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31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sz w:val="22"/>
              </w:rPr>
            </w:pPr>
            <w:r w:rsidRPr="00F30918">
              <w:rPr>
                <w:bCs/>
                <w:sz w:val="22"/>
              </w:rPr>
              <w:t xml:space="preserve">Партија 2 - </w:t>
            </w:r>
            <w:r w:rsidRPr="00F30918">
              <w:rPr>
                <w:color w:val="000000"/>
                <w:sz w:val="22"/>
              </w:rPr>
              <w:t>ИНТРАВЕНСКЕ КАНИЛЕ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815AEF">
        <w:trPr>
          <w:trHeight w:val="390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 xml:space="preserve">Партија 3 – </w:t>
            </w:r>
            <w:r w:rsidRPr="00F30918">
              <w:rPr>
                <w:color w:val="000000"/>
                <w:sz w:val="22"/>
              </w:rPr>
              <w:t>ПЛАСТИКА-КАТЕТЕРИ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lastRenderedPageBreak/>
              <w:t xml:space="preserve">Партија 4 – </w:t>
            </w:r>
            <w:r w:rsidRPr="00F30918">
              <w:rPr>
                <w:color w:val="000000"/>
                <w:sz w:val="22"/>
              </w:rPr>
              <w:t>ТРАЧИЦЕ ЗА ОДРЕЂИВАЊЕ ШЕЋЕРА У КАПИЛАРНОЈ КРВИ ЗА АПАРАТ PRECISION Xtra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 xml:space="preserve">Партија 5 - </w:t>
            </w:r>
            <w:r w:rsidRPr="00F30918">
              <w:rPr>
                <w:color w:val="000000"/>
                <w:sz w:val="22"/>
              </w:rPr>
              <w:t>УРИН КЕСЕ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>Партија 6 - ГЕЛ ЗА УЛТРАЗВУК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349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>Партија 7 -</w:t>
            </w:r>
            <w:r w:rsidRPr="00F30918">
              <w:rPr>
                <w:color w:val="000000"/>
                <w:sz w:val="22"/>
              </w:rPr>
              <w:t xml:space="preserve"> ПОТРОШНИ ЗА РТГ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>Партија 8 -</w:t>
            </w:r>
            <w:r w:rsidRPr="00F30918">
              <w:rPr>
                <w:color w:val="000000"/>
                <w:sz w:val="22"/>
              </w:rPr>
              <w:t xml:space="preserve"> ТРАЧИЦЕ ЗА ОДРЕЂИВАЊЕ ШЕЋЕРА У КАПИЛАРНОЈ КРВИ ZA APARAT BAYER CONTOUR PLUS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>Партија 9 -</w:t>
            </w:r>
            <w:r w:rsidRPr="00F30918">
              <w:rPr>
                <w:color w:val="000000"/>
                <w:sz w:val="22"/>
              </w:rPr>
              <w:t xml:space="preserve"> ИНДИКАТОР НАЛЕПНИЦЕ ЗА ХЕМИЈСКУ КОНТРОЛУ СУВЕ СТЕРИЛИЗАЦИЈЕ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color w:val="000000"/>
                <w:sz w:val="22"/>
              </w:rPr>
            </w:pPr>
            <w:r w:rsidRPr="00F30918">
              <w:rPr>
                <w:sz w:val="22"/>
              </w:rPr>
              <w:t xml:space="preserve">Партија 10 - </w:t>
            </w:r>
            <w:r w:rsidRPr="00F30918">
              <w:rPr>
                <w:color w:val="000000"/>
                <w:sz w:val="22"/>
              </w:rPr>
              <w:t>ТРАЧИЦЕ ЗА ОДРЕЂИВАЊЕ ХОЛЕСТЕРОЛА И ТРИГЛИЦЕРИДА ИЗ КРВИ ЗА АПАРАТ ACCUTREND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>Партија 11 -</w:t>
            </w:r>
            <w:r w:rsidRPr="00F30918">
              <w:rPr>
                <w:b/>
                <w:bCs/>
                <w:color w:val="000000"/>
                <w:sz w:val="22"/>
              </w:rPr>
              <w:t xml:space="preserve"> </w:t>
            </w:r>
            <w:r w:rsidRPr="00F30918">
              <w:rPr>
                <w:color w:val="000000"/>
                <w:sz w:val="22"/>
              </w:rPr>
              <w:t>СТЕРИЛНИ ПОТРОШНИ МАТЕРИЈАЛ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29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 xml:space="preserve">Партија 12 - </w:t>
            </w:r>
            <w:r w:rsidRPr="00F30918">
              <w:rPr>
                <w:color w:val="000000"/>
                <w:sz w:val="22"/>
              </w:rPr>
              <w:t>ГАЗЕ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259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>Партија 13 - ЗАВОЈНИ МАТЕРИЈАЛ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 xml:space="preserve">Партија 14 - </w:t>
            </w:r>
            <w:r w:rsidRPr="00F30918">
              <w:rPr>
                <w:color w:val="000000"/>
                <w:sz w:val="22"/>
              </w:rPr>
              <w:t>ОСТАЛИ ПОТРОШНИ МАТЕРИЈАЛ - СТАКЛО, ДРВО, ПЛАСТИКА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>Партија 15 - РАСТВОР НА БАЗИ БЕНЗАЛКОНИЈУМХЛОРИДА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319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>Партија 16 - ИГЛЕ, ШПРИЦЕВИ И СИСТЕМИ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17-  ВАТА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 xml:space="preserve">Партија 18 - </w:t>
            </w:r>
            <w:r w:rsidRPr="00F30918">
              <w:rPr>
                <w:color w:val="000000"/>
                <w:sz w:val="22"/>
              </w:rPr>
              <w:t xml:space="preserve"> ФЛАСТЕРИ, МАСКЕ, КАЉАЧЕ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19 - ТЕСТ ЗА ДИЈАГНОСТИКУ ОКУЛТНОГ КРВАРЕЊА У СТОЛИЦИ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20 - ФАНТОМАЛТ ХРАНА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 xml:space="preserve">Партија 21 - </w:t>
            </w:r>
            <w:r w:rsidRPr="00F30918">
              <w:rPr>
                <w:color w:val="000000"/>
                <w:sz w:val="22"/>
              </w:rPr>
              <w:t>AIRWAY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22 - НАВЛАКЕ ЗА ГИНЕКОЛОШКУ УЛТРАЗВУЧНУ СОНДУ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23 - ХЕМАТОЛОГИЈА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 xml:space="preserve">Партија 24 - </w:t>
            </w:r>
            <w:r w:rsidRPr="00F30918">
              <w:rPr>
                <w:color w:val="000000"/>
                <w:sz w:val="22"/>
              </w:rPr>
              <w:t>ЛАБОРАТОРИЈСКА ПЛАСТИКА, РАСТВОРИ SCREENING ТЕСТОВИ И ИГЛЕ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25 - ЕНЗИМИ И СУПСТРАТИ, КОНТРОЛНИ И КАЛИБРАЦИОНИ СЕРУМИ (ПОТРЕБНО ДА ИМАЈУ АПЛИКАЦИЈЕ ЗА АПАРАТ MINDRAY BS-200E)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26 - КОНДОМИ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bCs/>
                <w:color w:val="000000"/>
                <w:sz w:val="22"/>
              </w:rPr>
            </w:pPr>
            <w:r w:rsidRPr="00F30918">
              <w:rPr>
                <w:sz w:val="22"/>
              </w:rPr>
              <w:t>Партија 27 - СРЕДСТВА ЗА ДЕЗИНФЕКЦИЈУ И ЧИШЋЕЊЕ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28 - РЕАГЕНСИ, КАЛИБРАТОРИ И КОНТРОЛЕ ЗА BIOSEN АПАРАТ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 xml:space="preserve">Партија 29 - РАСТВОРИ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30 - АНТИСЕПТИК РАСТВОРИ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31 - АСПИРАЦИОНИ И РЕКТАЛНИ КАТЕТЕРИ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lastRenderedPageBreak/>
              <w:t>Партија 32 - ДЕТЕРЏЕНТ ЗА БИОХЕМИЈСКИ АНАЛИЗАТОР MINDRAY BS 200E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33 - РУКАВИЦЕ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34 - ХИРУРШКЕ РУКАВИЦЕ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35 - VACUTAINER-EPRUVETE, ИГЛЕ И ПРАТЕЋА ОПРЕМА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36 - ТОПЛОМЕРИ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37 - ВАЗЕЛИНСКА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38 - ТУБУСИ, ЛАРИНГИЈАЛНЕ МАСКЕ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39 - ХЕМИКАЛИЈЕ У ГИНЕКОЛОГИЈИ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40 - АЛКОХОЛ 96%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41 - БЕНЗИН МЕДИЦИНСКИ, ДЕСТИЛОВАНА ВОДА И ПАРАФИНСКО УЉЕ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407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sz w:val="22"/>
              </w:rPr>
            </w:pPr>
            <w:r w:rsidRPr="00F30918">
              <w:rPr>
                <w:sz w:val="22"/>
              </w:rPr>
              <w:t>Партија 42 - ДИЈАГНОСТИКА У ГИНЕКОЛОГИЈИ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AA" w:rsidRPr="000D6250" w:rsidRDefault="00FF4EAA" w:rsidP="00636DC3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FF4EAA" w:rsidRPr="000D6250" w:rsidTr="00636DC3">
        <w:trPr>
          <w:trHeight w:val="330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0D6250" w:rsidRDefault="00FF4EAA" w:rsidP="00636DC3">
            <w:pPr>
              <w:jc w:val="both"/>
              <w:rPr>
                <w:iCs/>
                <w:color w:val="000000"/>
                <w:lang w:val="sr-Cyrl-CS"/>
              </w:rPr>
            </w:pPr>
            <w:r w:rsidRPr="000D6250">
              <w:rPr>
                <w:b/>
                <w:iCs/>
                <w:color w:val="000000"/>
                <w:lang w:val="ru-RU"/>
              </w:rPr>
              <w:t>Рок важења понуде</w:t>
            </w:r>
            <w:r w:rsidRPr="000D6250">
              <w:rPr>
                <w:iCs/>
                <w:color w:val="000000"/>
                <w:lang w:val="ru-RU"/>
              </w:rPr>
              <w:t xml:space="preserve"> не може бити краћи од </w:t>
            </w:r>
            <w:r w:rsidRPr="000D6250">
              <w:rPr>
                <w:iCs/>
                <w:color w:val="000000"/>
                <w:lang w:val="sr-Cyrl-CS"/>
              </w:rPr>
              <w:t>3</w:t>
            </w:r>
            <w:r w:rsidRPr="000D6250">
              <w:rPr>
                <w:iCs/>
                <w:color w:val="000000"/>
                <w:lang w:val="ru-RU"/>
              </w:rPr>
              <w:t>0 дана од дана отварања понуда.</w:t>
            </w:r>
          </w:p>
        </w:tc>
        <w:tc>
          <w:tcPr>
            <w:tcW w:w="3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4EAA" w:rsidRPr="000D6250" w:rsidRDefault="00FF4EAA" w:rsidP="00636DC3">
            <w:pPr>
              <w:jc w:val="both"/>
              <w:rPr>
                <w:iCs/>
                <w:color w:val="000000"/>
                <w:lang w:val="sr-Cyrl-CS"/>
              </w:rPr>
            </w:pPr>
            <w:r>
              <w:rPr>
                <w:iCs/>
                <w:color w:val="000000"/>
                <w:lang w:val="sr-Cyrl-CS"/>
              </w:rPr>
              <w:t xml:space="preserve">______________ дана </w:t>
            </w:r>
            <w:r w:rsidRPr="000D6250">
              <w:rPr>
                <w:iCs/>
                <w:color w:val="000000"/>
                <w:lang w:val="ru-RU"/>
              </w:rPr>
              <w:t>од дана отварања понуда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</w:tr>
      <w:tr w:rsidR="00FF4EAA" w:rsidRPr="000D6250" w:rsidTr="00636DC3">
        <w:trPr>
          <w:trHeight w:val="272"/>
          <w:jc w:val="center"/>
        </w:trPr>
        <w:tc>
          <w:tcPr>
            <w:tcW w:w="10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AA" w:rsidRPr="00F30918" w:rsidRDefault="00FF4EAA" w:rsidP="00636DC3">
            <w:pPr>
              <w:jc w:val="both"/>
              <w:rPr>
                <w:rFonts w:eastAsia="TimesNewRomanPSMT"/>
                <w:b/>
                <w:bCs/>
                <w:color w:val="000000"/>
                <w:lang w:val="ru-RU"/>
              </w:rPr>
            </w:pPr>
            <w:r w:rsidRPr="000D6250">
              <w:rPr>
                <w:rFonts w:eastAsia="TimesNewRomanPSMT"/>
                <w:b/>
                <w:bCs/>
                <w:color w:val="000000"/>
                <w:lang w:val="ru-RU"/>
              </w:rPr>
              <w:t>Рок плаћања</w:t>
            </w:r>
            <w:r>
              <w:rPr>
                <w:rFonts w:eastAsia="TimesNewRomanPSMT"/>
                <w:b/>
                <w:bCs/>
                <w:color w:val="000000"/>
                <w:lang w:val="ru-RU"/>
              </w:rPr>
              <w:t xml:space="preserve"> </w:t>
            </w:r>
            <w:r w:rsidRPr="000D6250">
              <w:rPr>
                <w:iCs/>
                <w:color w:val="000000"/>
                <w:lang w:val="ru-RU"/>
              </w:rPr>
              <w:t xml:space="preserve">је </w:t>
            </w:r>
            <w:r w:rsidRPr="000D6250">
              <w:rPr>
                <w:iCs/>
                <w:color w:val="000000"/>
                <w:lang w:val="sr-Cyrl-CS"/>
              </w:rPr>
              <w:t>до 9</w:t>
            </w:r>
            <w:r w:rsidRPr="000D6250">
              <w:rPr>
                <w:iCs/>
                <w:color w:val="000000"/>
                <w:lang w:val="ru-RU"/>
              </w:rPr>
              <w:t xml:space="preserve">0 </w:t>
            </w:r>
            <w:r w:rsidRPr="000D6250">
              <w:rPr>
                <w:iCs/>
                <w:color w:val="000000"/>
                <w:lang w:val="sr-Cyrl-CS"/>
              </w:rPr>
              <w:t xml:space="preserve">дана </w:t>
            </w:r>
            <w:r w:rsidRPr="000D6250">
              <w:rPr>
                <w:iCs/>
                <w:color w:val="000000"/>
                <w:lang w:val="ru-RU"/>
              </w:rPr>
              <w:t xml:space="preserve">у складу са Законом о роковима измирења новчаних обавеза у комерцијалним трансакцијама </w:t>
            </w:r>
            <w:r w:rsidRPr="000D6250">
              <w:rPr>
                <w:rFonts w:eastAsia="TimesNewRomanPSMT"/>
                <w:color w:val="000000"/>
                <w:lang w:val="ru-RU"/>
              </w:rPr>
              <w:t>(„Сл. гласник РС” бр. 119/2012</w:t>
            </w:r>
            <w:r>
              <w:rPr>
                <w:rFonts w:eastAsia="TimesNewRomanPSMT"/>
                <w:color w:val="000000"/>
                <w:lang w:val="ru-RU"/>
              </w:rPr>
              <w:t xml:space="preserve"> и 68/2015</w:t>
            </w:r>
            <w:r w:rsidRPr="000D6250">
              <w:rPr>
                <w:rFonts w:eastAsia="TimesNewRomanPSMT"/>
                <w:color w:val="000000"/>
                <w:lang w:val="ru-RU"/>
              </w:rPr>
              <w:t>)</w:t>
            </w:r>
            <w:r w:rsidRPr="000D6250">
              <w:rPr>
                <w:rFonts w:eastAsia="TimesNewRomanPSMT"/>
                <w:color w:val="000000"/>
                <w:lang w:val="sr-Latn-CS"/>
              </w:rPr>
              <w:t xml:space="preserve"> </w:t>
            </w:r>
            <w:r w:rsidRPr="000D6250">
              <w:rPr>
                <w:color w:val="000000"/>
                <w:lang w:val="ru-RU"/>
              </w:rPr>
              <w:t>после испоруке добара, а након доставе фактуре</w:t>
            </w:r>
            <w:r w:rsidRPr="000D6250">
              <w:rPr>
                <w:iCs/>
                <w:color w:val="000000"/>
                <w:lang w:val="ru-RU"/>
              </w:rPr>
              <w:t>.</w:t>
            </w:r>
          </w:p>
        </w:tc>
      </w:tr>
      <w:tr w:rsidR="00FF4EAA" w:rsidRPr="000D6250" w:rsidTr="00636DC3">
        <w:trPr>
          <w:trHeight w:val="325"/>
          <w:jc w:val="center"/>
        </w:trPr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AA" w:rsidRDefault="00FF4EAA" w:rsidP="00636DC3">
            <w:pPr>
              <w:jc w:val="both"/>
              <w:rPr>
                <w:rFonts w:eastAsia="TimesNewRomanPSMT"/>
                <w:b/>
                <w:bCs/>
                <w:color w:val="000000"/>
                <w:lang w:val="ru-RU"/>
              </w:rPr>
            </w:pPr>
            <w:r w:rsidRPr="000D6250">
              <w:rPr>
                <w:rFonts w:eastAsia="TimesNewRomanPSMT"/>
                <w:b/>
                <w:bCs/>
                <w:color w:val="000000"/>
                <w:lang w:val="ru-RU"/>
              </w:rPr>
              <w:t>Рок испоруке</w:t>
            </w:r>
            <w:r>
              <w:rPr>
                <w:rFonts w:eastAsia="TimesNewRomanPSMT"/>
                <w:b/>
                <w:bCs/>
                <w:color w:val="000000"/>
                <w:lang w:val="ru-RU"/>
              </w:rPr>
              <w:t xml:space="preserve"> </w:t>
            </w:r>
          </w:p>
          <w:p w:rsidR="00FF4EAA" w:rsidRPr="00FF4EAA" w:rsidRDefault="00FF4EAA" w:rsidP="00636DC3">
            <w:pPr>
              <w:jc w:val="both"/>
              <w:rPr>
                <w:rFonts w:eastAsia="TimesNewRomanPSMT"/>
                <w:bCs/>
                <w:color w:val="000000"/>
                <w:lang w:val="ru-RU"/>
              </w:rPr>
            </w:pPr>
            <w:r w:rsidRPr="00FF4EAA">
              <w:t>Понуђач је дужан да испоруку добара врши</w:t>
            </w:r>
            <w:r w:rsidRPr="00FF4EAA">
              <w:rPr>
                <w:lang w:val="sr-Latn-CS"/>
              </w:rPr>
              <w:t xml:space="preserve"> </w:t>
            </w:r>
            <w:r w:rsidRPr="00FF4EAA">
              <w:t>након пријема писменог или усменог Захтева од стране наручиоца а најдуже у року до 48 часова од дана пријема истог.</w:t>
            </w:r>
          </w:p>
        </w:tc>
        <w:tc>
          <w:tcPr>
            <w:tcW w:w="3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AA" w:rsidRDefault="00FF4EAA" w:rsidP="00636DC3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</w:p>
          <w:p w:rsidR="00FF4EAA" w:rsidRDefault="00FF4EAA" w:rsidP="00636DC3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</w:p>
          <w:p w:rsidR="00FF4EAA" w:rsidRPr="000D6250" w:rsidRDefault="00FF4EAA" w:rsidP="00636DC3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  <w:r w:rsidRPr="000D6250">
              <w:rPr>
                <w:rFonts w:eastAsia="TimesNewRomanPSMT"/>
                <w:bCs/>
                <w:color w:val="000000"/>
                <w:lang w:val="ru-RU"/>
              </w:rPr>
              <w:t>______________ часова.</w:t>
            </w:r>
          </w:p>
        </w:tc>
      </w:tr>
      <w:tr w:rsidR="00FF4EAA" w:rsidRPr="000D6250" w:rsidTr="00636DC3">
        <w:trPr>
          <w:trHeight w:val="287"/>
          <w:jc w:val="center"/>
        </w:trPr>
        <w:tc>
          <w:tcPr>
            <w:tcW w:w="10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AA" w:rsidRPr="000D6250" w:rsidRDefault="00FF4EAA" w:rsidP="00815AEF">
            <w:pPr>
              <w:rPr>
                <w:iCs/>
                <w:color w:val="000000"/>
                <w:lang w:val="sr-Cyrl-CS"/>
              </w:rPr>
            </w:pPr>
            <w:r w:rsidRPr="000D6250">
              <w:rPr>
                <w:rFonts w:eastAsia="TimesNewRomanPSMT"/>
                <w:b/>
                <w:bCs/>
                <w:color w:val="000000"/>
              </w:rPr>
              <w:t>Место испоруке</w:t>
            </w:r>
            <w:r w:rsidRPr="000D6250">
              <w:rPr>
                <w:iCs/>
                <w:color w:val="000000"/>
                <w:lang w:val="sr-Cyrl-CS"/>
              </w:rPr>
              <w:t xml:space="preserve"> - </w:t>
            </w:r>
            <w:r w:rsidRPr="000D6250">
              <w:rPr>
                <w:color w:val="000000"/>
                <w:lang w:val="sr-Cyrl-CS"/>
              </w:rPr>
              <w:t>франко</w:t>
            </w:r>
            <w:r w:rsidRPr="000D6250">
              <w:rPr>
                <w:color w:val="000000"/>
              </w:rPr>
              <w:t xml:space="preserve"> – магацин купца</w:t>
            </w:r>
            <w:r w:rsidRPr="000D6250">
              <w:rPr>
                <w:iCs/>
                <w:color w:val="000000"/>
                <w:lang w:val="sr-Cyrl-CS"/>
              </w:rPr>
              <w:t xml:space="preserve"> Дом здравља „Сремска Митровица“, Стари шор 65, 22000 Сремска Митровица</w:t>
            </w:r>
            <w:r w:rsidRPr="000D6250">
              <w:rPr>
                <w:color w:val="000000"/>
              </w:rPr>
              <w:t xml:space="preserve">, радним даном до 13h.                             </w:t>
            </w:r>
          </w:p>
        </w:tc>
      </w:tr>
    </w:tbl>
    <w:p w:rsidR="00FF4EAA" w:rsidRPr="000D6250" w:rsidRDefault="00FF4EAA" w:rsidP="00FF4EAA">
      <w:pPr>
        <w:jc w:val="both"/>
        <w:rPr>
          <w:rFonts w:eastAsia="TimesNewRomanPSMT"/>
          <w:bCs/>
          <w:color w:val="000000"/>
          <w:lang w:val="sr-Cyrl-CS"/>
        </w:rPr>
      </w:pPr>
    </w:p>
    <w:p w:rsidR="00FF4EAA" w:rsidRPr="00F30918" w:rsidRDefault="00FF4EAA" w:rsidP="00FF4EAA">
      <w:pPr>
        <w:ind w:left="720" w:firstLine="720"/>
        <w:jc w:val="both"/>
        <w:rPr>
          <w:rFonts w:eastAsia="TimesNewRomanPSMT"/>
          <w:bCs/>
          <w:color w:val="000000"/>
          <w:sz w:val="22"/>
          <w:lang w:val="sr-Cyrl-CS"/>
        </w:rPr>
      </w:pPr>
      <w:r w:rsidRPr="00F30918">
        <w:rPr>
          <w:rFonts w:eastAsia="TimesNewRomanPSMT"/>
          <w:bCs/>
          <w:color w:val="000000"/>
          <w:sz w:val="22"/>
          <w:lang w:val="sr-Cyrl-CS"/>
        </w:rPr>
        <w:t xml:space="preserve">Датум </w:t>
      </w:r>
      <w:r w:rsidRPr="00F30918">
        <w:rPr>
          <w:rFonts w:eastAsia="TimesNewRomanPSMT"/>
          <w:bCs/>
          <w:color w:val="000000"/>
          <w:sz w:val="22"/>
          <w:lang w:val="sr-Cyrl-CS"/>
        </w:rPr>
        <w:tab/>
      </w:r>
      <w:r w:rsidRPr="00F30918">
        <w:rPr>
          <w:rFonts w:eastAsia="TimesNewRomanPSMT"/>
          <w:bCs/>
          <w:color w:val="000000"/>
          <w:sz w:val="22"/>
          <w:lang w:val="sr-Cyrl-CS"/>
        </w:rPr>
        <w:tab/>
      </w:r>
      <w:r w:rsidRPr="00F30918">
        <w:rPr>
          <w:rFonts w:eastAsia="TimesNewRomanPSMT"/>
          <w:bCs/>
          <w:color w:val="000000"/>
          <w:sz w:val="22"/>
          <w:lang w:val="sr-Cyrl-CS"/>
        </w:rPr>
        <w:tab/>
      </w:r>
      <w:r w:rsidRPr="00F30918">
        <w:rPr>
          <w:rFonts w:eastAsia="TimesNewRomanPSMT"/>
          <w:bCs/>
          <w:color w:val="000000"/>
          <w:sz w:val="22"/>
          <w:lang w:val="sr-Cyrl-CS"/>
        </w:rPr>
        <w:tab/>
      </w:r>
      <w:r w:rsidRPr="00F30918">
        <w:rPr>
          <w:rFonts w:eastAsia="TimesNewRomanPSMT"/>
          <w:bCs/>
          <w:color w:val="000000"/>
          <w:sz w:val="22"/>
          <w:lang w:val="sr-Cyrl-CS"/>
        </w:rPr>
        <w:tab/>
        <w:t xml:space="preserve">              Понуђач</w:t>
      </w:r>
    </w:p>
    <w:p w:rsidR="00FF4EAA" w:rsidRPr="00F30918" w:rsidRDefault="00FF4EAA" w:rsidP="00FF4EAA">
      <w:pPr>
        <w:ind w:left="2880" w:firstLine="720"/>
        <w:jc w:val="both"/>
        <w:rPr>
          <w:rFonts w:eastAsia="TimesNewRomanPS-BoldMT"/>
          <w:b/>
          <w:bCs/>
          <w:i/>
          <w:iCs/>
          <w:color w:val="000000"/>
          <w:sz w:val="22"/>
          <w:lang w:val="sr-Cyrl-CS"/>
        </w:rPr>
      </w:pPr>
      <w:r w:rsidRPr="00F30918">
        <w:rPr>
          <w:rFonts w:eastAsia="TimesNewRomanPSMT"/>
          <w:bCs/>
          <w:color w:val="000000"/>
          <w:sz w:val="22"/>
          <w:lang w:val="sr-Cyrl-CS"/>
        </w:rPr>
        <w:t xml:space="preserve">    М. П. </w:t>
      </w:r>
    </w:p>
    <w:p w:rsidR="00FF4EAA" w:rsidRPr="00F30918" w:rsidRDefault="00FF4EAA" w:rsidP="00FF4EAA">
      <w:pPr>
        <w:jc w:val="both"/>
        <w:rPr>
          <w:rFonts w:eastAsia="TimesNewRomanPS-BoldMT"/>
          <w:b/>
          <w:bCs/>
          <w:i/>
          <w:iCs/>
          <w:color w:val="000000"/>
          <w:sz w:val="22"/>
          <w:lang w:val="sr-Cyrl-CS"/>
        </w:rPr>
      </w:pPr>
      <w:r w:rsidRPr="00F30918">
        <w:rPr>
          <w:rFonts w:eastAsia="TimesNewRomanPS-BoldMT"/>
          <w:b/>
          <w:bCs/>
          <w:i/>
          <w:iCs/>
          <w:color w:val="000000"/>
          <w:sz w:val="22"/>
          <w:lang w:val="sr-Cyrl-CS"/>
        </w:rPr>
        <w:t>_____________________________</w:t>
      </w:r>
      <w:r w:rsidRPr="00F30918">
        <w:rPr>
          <w:rFonts w:eastAsia="TimesNewRomanPS-BoldMT"/>
          <w:b/>
          <w:bCs/>
          <w:i/>
          <w:iCs/>
          <w:color w:val="000000"/>
          <w:sz w:val="22"/>
          <w:lang w:val="sr-Cyrl-CS"/>
        </w:rPr>
        <w:tab/>
      </w:r>
      <w:r w:rsidRPr="00F30918">
        <w:rPr>
          <w:rFonts w:eastAsia="TimesNewRomanPS-BoldMT"/>
          <w:b/>
          <w:bCs/>
          <w:i/>
          <w:iCs/>
          <w:color w:val="000000"/>
          <w:sz w:val="22"/>
          <w:lang w:val="sr-Cyrl-CS"/>
        </w:rPr>
        <w:tab/>
      </w:r>
      <w:r w:rsidRPr="00F30918">
        <w:rPr>
          <w:rFonts w:eastAsia="TimesNewRomanPS-BoldMT"/>
          <w:b/>
          <w:bCs/>
          <w:i/>
          <w:iCs/>
          <w:color w:val="000000"/>
          <w:sz w:val="22"/>
          <w:lang w:val="sr-Cyrl-CS"/>
        </w:rPr>
        <w:tab/>
        <w:t>________________________________</w:t>
      </w:r>
    </w:p>
    <w:p w:rsidR="00FF4EAA" w:rsidRPr="00F30918" w:rsidRDefault="00FF4EAA" w:rsidP="00FF4EAA">
      <w:pPr>
        <w:jc w:val="both"/>
        <w:rPr>
          <w:rFonts w:eastAsia="TimesNewRomanPS-BoldMT"/>
          <w:b/>
          <w:bCs/>
          <w:i/>
          <w:iCs/>
          <w:color w:val="000000"/>
          <w:sz w:val="22"/>
          <w:lang w:val="sr-Cyrl-CS"/>
        </w:rPr>
      </w:pPr>
    </w:p>
    <w:p w:rsidR="00FF4EAA" w:rsidRPr="00F30918" w:rsidRDefault="00FF4EAA" w:rsidP="00FF4EAA">
      <w:pPr>
        <w:jc w:val="both"/>
        <w:rPr>
          <w:i/>
          <w:iCs/>
          <w:color w:val="000000"/>
          <w:sz w:val="22"/>
          <w:lang w:val="sr-Cyrl-CS"/>
        </w:rPr>
      </w:pPr>
      <w:r w:rsidRPr="00F30918">
        <w:rPr>
          <w:b/>
          <w:bCs/>
          <w:i/>
          <w:iCs/>
          <w:color w:val="000000"/>
          <w:sz w:val="22"/>
          <w:u w:val="single"/>
          <w:lang w:val="sr-Cyrl-CS"/>
        </w:rPr>
        <w:t>Напомене:</w:t>
      </w:r>
      <w:r w:rsidRPr="00F30918">
        <w:rPr>
          <w:b/>
          <w:bCs/>
          <w:i/>
          <w:iCs/>
          <w:color w:val="000000"/>
          <w:sz w:val="22"/>
          <w:lang w:val="sr-Cyrl-CS"/>
        </w:rPr>
        <w:t xml:space="preserve"> </w:t>
      </w:r>
    </w:p>
    <w:p w:rsidR="00FF4EAA" w:rsidRPr="00F30918" w:rsidRDefault="00FF4EAA" w:rsidP="00FF4EAA">
      <w:pPr>
        <w:jc w:val="both"/>
        <w:rPr>
          <w:i/>
          <w:iCs/>
          <w:color w:val="000000"/>
          <w:sz w:val="22"/>
          <w:lang w:val="sr-Cyrl-CS"/>
        </w:rPr>
      </w:pPr>
      <w:r w:rsidRPr="00F30918">
        <w:rPr>
          <w:i/>
          <w:iCs/>
          <w:color w:val="000000"/>
          <w:sz w:val="22"/>
          <w:lang w:val="sr-Cyrl-CS"/>
        </w:rPr>
        <w:t>Образац понуде понуђач мора да попуни, овери печатом и потпише, чиме потврђује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понуде.Уколико је предмет јавне набавке обликован у више партија, понуђачи ће попуњавати образац понуде за сваку партију посебно.</w:t>
      </w:r>
    </w:p>
    <w:p w:rsidR="009652A2" w:rsidRPr="00F30918" w:rsidRDefault="009652A2" w:rsidP="009652A2">
      <w:pPr>
        <w:jc w:val="center"/>
        <w:rPr>
          <w:b/>
          <w:bCs/>
          <w:i/>
          <w:iCs/>
          <w:color w:val="000000"/>
          <w:sz w:val="32"/>
        </w:rPr>
      </w:pPr>
    </w:p>
    <w:p w:rsidR="009652A2" w:rsidRPr="00ED384D" w:rsidRDefault="009652A2" w:rsidP="009652A2">
      <w:pPr>
        <w:autoSpaceDE w:val="0"/>
        <w:autoSpaceDN w:val="0"/>
        <w:adjustRightInd w:val="0"/>
        <w:jc w:val="both"/>
        <w:rPr>
          <w:b/>
        </w:rPr>
      </w:pPr>
    </w:p>
    <w:p w:rsidR="00C31F7C" w:rsidRPr="00ED384D" w:rsidRDefault="00C31F7C" w:rsidP="00C31F7C">
      <w:pPr>
        <w:rPr>
          <w:b/>
          <w:color w:val="000000"/>
          <w:lang w:val="sr-Cyrl-CS"/>
        </w:rPr>
      </w:pPr>
      <w:r w:rsidRPr="00ED384D">
        <w:rPr>
          <w:b/>
          <w:color w:val="000000"/>
        </w:rPr>
        <w:t xml:space="preserve">                                                                                                                 </w:t>
      </w:r>
      <w:r w:rsidRPr="00ED384D">
        <w:rPr>
          <w:b/>
          <w:color w:val="000000"/>
          <w:lang w:val="sr-Cyrl-CS"/>
        </w:rPr>
        <w:t xml:space="preserve"> </w:t>
      </w:r>
      <w:r w:rsidR="006E0E0E" w:rsidRPr="00ED384D">
        <w:rPr>
          <w:b/>
          <w:color w:val="000000"/>
        </w:rPr>
        <w:t xml:space="preserve">           </w:t>
      </w:r>
      <w:r w:rsidR="00ED384D">
        <w:rPr>
          <w:b/>
          <w:color w:val="000000"/>
        </w:rPr>
        <w:t xml:space="preserve">     </w:t>
      </w:r>
      <w:r w:rsidRPr="00ED384D">
        <w:rPr>
          <w:b/>
          <w:color w:val="000000"/>
          <w:lang w:val="sr-Cyrl-CS"/>
        </w:rPr>
        <w:t xml:space="preserve">КОМИСИЈА </w:t>
      </w:r>
    </w:p>
    <w:p w:rsidR="00C31F7C" w:rsidRPr="00ED384D" w:rsidRDefault="00C31F7C" w:rsidP="00C31F7C">
      <w:pPr>
        <w:jc w:val="center"/>
        <w:rPr>
          <w:b/>
          <w:color w:val="000000"/>
          <w:lang w:val="sr-Cyrl-CS"/>
        </w:rPr>
      </w:pPr>
      <w:r w:rsidRPr="00ED384D">
        <w:rPr>
          <w:b/>
          <w:color w:val="000000"/>
        </w:rPr>
        <w:t xml:space="preserve">                                                                                                                     </w:t>
      </w:r>
      <w:r w:rsidRPr="00ED384D">
        <w:rPr>
          <w:b/>
          <w:color w:val="000000"/>
          <w:lang w:val="sr-Cyrl-CS"/>
        </w:rPr>
        <w:t>ЗА ЈАВНЕ НАБАВКЕ</w:t>
      </w:r>
    </w:p>
    <w:p w:rsidR="006B32A4" w:rsidRPr="00ED384D" w:rsidRDefault="00C31F7C" w:rsidP="006E0E0E">
      <w:pPr>
        <w:jc w:val="center"/>
        <w:rPr>
          <w:lang w:val="sr-Cyrl-CS"/>
        </w:rPr>
      </w:pPr>
      <w:r w:rsidRPr="00ED384D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ED384D">
        <w:rPr>
          <w:b/>
          <w:color w:val="000000"/>
        </w:rPr>
        <w:t xml:space="preserve">                    </w:t>
      </w:r>
      <w:r w:rsidRPr="00ED384D">
        <w:rPr>
          <w:b/>
          <w:color w:val="000000"/>
          <w:lang w:val="sr-Cyrl-CS"/>
        </w:rPr>
        <w:t xml:space="preserve">   _______________________</w:t>
      </w:r>
    </w:p>
    <w:sectPr w:rsidR="006B32A4" w:rsidRPr="00ED384D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0B0" w:rsidRDefault="00CD20B0">
      <w:r>
        <w:separator/>
      </w:r>
    </w:p>
  </w:endnote>
  <w:endnote w:type="continuationSeparator" w:id="1">
    <w:p w:rsidR="00CD20B0" w:rsidRDefault="00CD2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0B0" w:rsidRDefault="00CD20B0">
      <w:r>
        <w:separator/>
      </w:r>
    </w:p>
  </w:footnote>
  <w:footnote w:type="continuationSeparator" w:id="1">
    <w:p w:rsidR="00CD20B0" w:rsidRDefault="00CD2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A5211"/>
    <w:multiLevelType w:val="hybridMultilevel"/>
    <w:tmpl w:val="3BD4C07E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1641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42A8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0945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41B"/>
    <w:rsid w:val="001D65E9"/>
    <w:rsid w:val="001E066E"/>
    <w:rsid w:val="001E2E18"/>
    <w:rsid w:val="001E4009"/>
    <w:rsid w:val="001E5D2E"/>
    <w:rsid w:val="001F4239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246C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063C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059D5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53CE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15AEF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A2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97DDD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68"/>
    <w:rsid w:val="00C94ADA"/>
    <w:rsid w:val="00C958B6"/>
    <w:rsid w:val="00CA091B"/>
    <w:rsid w:val="00CA0B94"/>
    <w:rsid w:val="00CA45D1"/>
    <w:rsid w:val="00CB49B9"/>
    <w:rsid w:val="00CC0915"/>
    <w:rsid w:val="00CC136A"/>
    <w:rsid w:val="00CD20B0"/>
    <w:rsid w:val="00CE1C47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B28AD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384D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  <w:rsid w:val="00FF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6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93</TotalTime>
  <Pages>4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7683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11</cp:revision>
  <cp:lastPrinted>2017-05-22T11:51:00Z</cp:lastPrinted>
  <dcterms:created xsi:type="dcterms:W3CDTF">2017-05-18T10:55:00Z</dcterms:created>
  <dcterms:modified xsi:type="dcterms:W3CDTF">2017-05-29T10:44:00Z</dcterms:modified>
</cp:coreProperties>
</file>